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7C" w:rsidRPr="001C5BE6" w:rsidRDefault="004A187C" w:rsidP="004A18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4A187C" w:rsidRPr="00C97BE4" w:rsidRDefault="004A187C" w:rsidP="004A18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Сталий економічний розвиток країни можливий лише за умови залучення достатніх обсягів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інвести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ційних ресурсів для здійснення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структурної перебудови економі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ки. У сучасних умовах якісного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удосконалення ринкових відносин все 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льш вагому роль в забезпеченні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економіки країни і особливо –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реального сектору, на рівні із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розробкою та запровадженням сучасних технологій та нової техніки, відіграє ринок цінних паперів.</w:t>
      </w: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8B">
        <w:rPr>
          <w:rFonts w:ascii="Times New Roman" w:hAnsi="Times New Roman" w:cs="Times New Roman"/>
          <w:sz w:val="28"/>
          <w:szCs w:val="28"/>
          <w:lang w:val="uk-UA"/>
        </w:rPr>
        <w:t>Ринок цінних паперів є найвищою формою розвитку товарно-грошових відносин. При гармонійному розвитку, розвинутій інфраструктурі</w:t>
      </w:r>
      <w:r>
        <w:rPr>
          <w:rFonts w:ascii="Times New Roman" w:hAnsi="Times New Roman" w:cs="Times New Roman"/>
          <w:sz w:val="28"/>
          <w:szCs w:val="28"/>
          <w:lang w:val="uk-UA"/>
        </w:rPr>
        <w:t>, налагодженому правовому забез</w:t>
      </w:r>
      <w:r w:rsidRPr="00952A8B">
        <w:rPr>
          <w:rFonts w:ascii="Times New Roman" w:hAnsi="Times New Roman" w:cs="Times New Roman"/>
          <w:sz w:val="28"/>
          <w:szCs w:val="28"/>
          <w:lang w:val="uk-UA"/>
        </w:rPr>
        <w:t>печенні механізмів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у інтересів всіх його учасників – інвесторів, емітентів, посередників –</w:t>
      </w:r>
      <w:r w:rsidRPr="00952A8B">
        <w:rPr>
          <w:rFonts w:ascii="Times New Roman" w:hAnsi="Times New Roman" w:cs="Times New Roman"/>
          <w:sz w:val="28"/>
          <w:szCs w:val="28"/>
          <w:lang w:val="uk-UA"/>
        </w:rPr>
        <w:t xml:space="preserve"> він є потужним прискорювачем 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будь-якої країни.</w:t>
      </w: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2A8B">
        <w:rPr>
          <w:rFonts w:ascii="Times New Roman" w:hAnsi="Times New Roman" w:cs="Times New Roman"/>
          <w:sz w:val="28"/>
          <w:szCs w:val="28"/>
          <w:lang w:val="uk-UA"/>
        </w:rPr>
        <w:t>Ринок цінних паперів є багатоаспектною соціально – економічною системою, на основі якої функціонує ринкова економіка в цілому. Він сприяє акумулюванню капіталу для інвестицій у виробничу і соціальну сфери, структурній пере</w:t>
      </w:r>
      <w:r>
        <w:rPr>
          <w:rFonts w:ascii="Times New Roman" w:hAnsi="Times New Roman" w:cs="Times New Roman"/>
          <w:sz w:val="28"/>
          <w:szCs w:val="28"/>
          <w:lang w:val="uk-UA"/>
        </w:rPr>
        <w:t>будові економіки, позити</w:t>
      </w:r>
      <w:r w:rsidRPr="00952A8B">
        <w:rPr>
          <w:rFonts w:ascii="Times New Roman" w:hAnsi="Times New Roman" w:cs="Times New Roman"/>
          <w:sz w:val="28"/>
          <w:szCs w:val="28"/>
          <w:lang w:val="uk-UA"/>
        </w:rPr>
        <w:t>вній динаміці соціальної структури суспільства, підвищенню достатку кожної людини шляхом володіння і вільного розпорядження цінними паперами, психологічній готовності населення до ринкових відносин.</w:t>
      </w: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питання, пов’язані </w:t>
      </w:r>
      <w:r w:rsidRPr="00DE5096">
        <w:rPr>
          <w:rFonts w:ascii="Times New Roman" w:hAnsi="Times New Roman" w:cs="Times New Roman"/>
          <w:sz w:val="28"/>
          <w:szCs w:val="28"/>
          <w:lang w:val="uk-UA"/>
        </w:rPr>
        <w:t>з поняттям, правовим режимом та обігом цінни</w:t>
      </w:r>
      <w:r>
        <w:rPr>
          <w:rFonts w:ascii="Times New Roman" w:hAnsi="Times New Roman" w:cs="Times New Roman"/>
          <w:sz w:val="28"/>
          <w:szCs w:val="28"/>
          <w:lang w:val="uk-UA"/>
        </w:rPr>
        <w:t>х паперів, знайшли своє відо</w:t>
      </w:r>
      <w:r w:rsidRPr="00DE5096">
        <w:rPr>
          <w:rFonts w:ascii="Times New Roman" w:hAnsi="Times New Roman" w:cs="Times New Roman"/>
          <w:sz w:val="28"/>
          <w:szCs w:val="28"/>
          <w:lang w:val="uk-UA"/>
        </w:rPr>
        <w:t xml:space="preserve">браження у працях І. </w:t>
      </w:r>
      <w:proofErr w:type="spellStart"/>
      <w:r w:rsidRPr="00DE5096">
        <w:rPr>
          <w:rFonts w:ascii="Times New Roman" w:hAnsi="Times New Roman" w:cs="Times New Roman"/>
          <w:sz w:val="28"/>
          <w:szCs w:val="28"/>
          <w:lang w:val="uk-UA"/>
        </w:rPr>
        <w:t>Безклубого</w:t>
      </w:r>
      <w:proofErr w:type="spellEnd"/>
      <w:r w:rsidRPr="00DE5096">
        <w:rPr>
          <w:rFonts w:ascii="Times New Roman" w:hAnsi="Times New Roman" w:cs="Times New Roman"/>
          <w:sz w:val="28"/>
          <w:szCs w:val="28"/>
          <w:lang w:val="uk-UA"/>
        </w:rPr>
        <w:t xml:space="preserve">, В. Бірюкова, О. Винник, В. </w:t>
      </w:r>
      <w:proofErr w:type="spellStart"/>
      <w:r w:rsidRPr="00DE5096">
        <w:rPr>
          <w:rFonts w:ascii="Times New Roman" w:hAnsi="Times New Roman" w:cs="Times New Roman"/>
          <w:sz w:val="28"/>
          <w:szCs w:val="28"/>
          <w:lang w:val="uk-UA"/>
        </w:rPr>
        <w:t>Долинської</w:t>
      </w:r>
      <w:proofErr w:type="spellEnd"/>
      <w:r w:rsidRPr="00DE5096">
        <w:rPr>
          <w:rFonts w:ascii="Times New Roman" w:hAnsi="Times New Roman" w:cs="Times New Roman"/>
          <w:sz w:val="28"/>
          <w:szCs w:val="28"/>
          <w:lang w:val="uk-UA"/>
        </w:rPr>
        <w:t xml:space="preserve">, Ю. Кравченко, Н. </w:t>
      </w:r>
      <w:proofErr w:type="spellStart"/>
      <w:r w:rsidRPr="00DE5096">
        <w:rPr>
          <w:rFonts w:ascii="Times New Roman" w:hAnsi="Times New Roman" w:cs="Times New Roman"/>
          <w:sz w:val="28"/>
          <w:szCs w:val="28"/>
          <w:lang w:val="uk-UA"/>
        </w:rPr>
        <w:t>Кузнєцової</w:t>
      </w:r>
      <w:proofErr w:type="spellEnd"/>
      <w:r w:rsidRPr="00DE5096">
        <w:rPr>
          <w:rFonts w:ascii="Times New Roman" w:hAnsi="Times New Roman" w:cs="Times New Roman"/>
          <w:sz w:val="28"/>
          <w:szCs w:val="28"/>
          <w:lang w:val="uk-UA"/>
        </w:rPr>
        <w:t xml:space="preserve">, І. </w:t>
      </w:r>
      <w:proofErr w:type="spellStart"/>
      <w:r w:rsidRPr="00DE5096"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Колесника,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Мозгового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E5096">
        <w:rPr>
          <w:rFonts w:ascii="Times New Roman" w:hAnsi="Times New Roman" w:cs="Times New Roman"/>
          <w:sz w:val="28"/>
          <w:szCs w:val="28"/>
          <w:lang w:val="uk-UA"/>
        </w:rPr>
        <w:t xml:space="preserve">О. Онуфрієнко, А. Пилипенко, В. </w:t>
      </w:r>
      <w:proofErr w:type="spellStart"/>
      <w:r w:rsidRPr="00DE5096">
        <w:rPr>
          <w:rFonts w:ascii="Times New Roman" w:hAnsi="Times New Roman" w:cs="Times New Roman"/>
          <w:sz w:val="28"/>
          <w:szCs w:val="28"/>
          <w:lang w:val="uk-UA"/>
        </w:rPr>
        <w:t>Посполі</w:t>
      </w: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Щербини та ін. </w:t>
      </w:r>
      <w:r w:rsidRPr="00DE5096">
        <w:rPr>
          <w:rFonts w:ascii="Times New Roman" w:hAnsi="Times New Roman" w:cs="Times New Roman"/>
          <w:sz w:val="28"/>
          <w:szCs w:val="28"/>
          <w:lang w:val="uk-UA"/>
        </w:rPr>
        <w:t>Проте дослідження тривають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87C" w:rsidRPr="001C5BE6" w:rsidRDefault="004A187C" w:rsidP="004A187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Актуальність 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обумовлена 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ченням інститутів ринку цінних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паперів у трансформаційній господарській системі та їх роллю в забезпеченні необхідними для розвитку фінансовими ресурсами усіх суб’єктів економіки. </w:t>
      </w:r>
    </w:p>
    <w:p w:rsidR="004A187C" w:rsidRPr="001C5BE6" w:rsidRDefault="004A187C" w:rsidP="004A187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Для забезпечення прискореного 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економіки України необхідно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створити умови для її модернізації на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снові адекватного використання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можливостей інститутів ринку цінних паперів.</w:t>
      </w:r>
    </w:p>
    <w:p w:rsidR="004A187C" w:rsidRPr="001C5BE6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Метою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є дослідження та анал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ринку цінних паперів, оцінка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його стану в докризовий та після кризовий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періоди в Україні, визначення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перспектив розвитку на шляху інтеграції України до Європейського Союзу.</w:t>
      </w: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Мета роботи зу</w:t>
      </w:r>
      <w:r>
        <w:rPr>
          <w:rFonts w:ascii="Times New Roman" w:hAnsi="Times New Roman" w:cs="Times New Roman"/>
          <w:sz w:val="28"/>
          <w:szCs w:val="28"/>
          <w:lang w:val="uk-UA"/>
        </w:rPr>
        <w:t>мовлює виконання таких завдань: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дослідити  сутність  поняття та особливості функціонування  ринку 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цінних паперів;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оцінити місце ринку цінних паперів в системі фінансового ринку;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аналіз  ринку цінних паперів  України в ракурсі обертання 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його основних інструментів; 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визначити 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та оцінити перспективи розвитку</w:t>
      </w:r>
    </w:p>
    <w:p w:rsidR="004A187C" w:rsidRPr="001C5BE6" w:rsidRDefault="004A187C" w:rsidP="004A187C">
      <w:pPr>
        <w:pStyle w:val="a3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ринку цінних паперів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87C" w:rsidRPr="001C5BE6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єктом дослідження курсової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 економічні відносини між суб’єктами, що здійсню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ють свою діяльніс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на ринку  цінних паперів  в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Україні.</w:t>
      </w:r>
    </w:p>
    <w:p w:rsidR="004A187C" w:rsidRPr="001C5BE6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Предметом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ринок цінних паперів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України. </w:t>
      </w:r>
    </w:p>
    <w:p w:rsidR="004A187C" w:rsidRPr="001C5BE6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Методами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дослідження в даній роботі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метод аналізу, статистичний,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графічний,табличний, метод порівняння,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 економіко-математичного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моделювання, метод індукції.</w:t>
      </w:r>
    </w:p>
    <w:p w:rsidR="004A187C" w:rsidRDefault="004A187C" w:rsidP="004A187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BE6">
        <w:rPr>
          <w:rFonts w:ascii="Times New Roman" w:hAnsi="Times New Roman" w:cs="Times New Roman"/>
          <w:sz w:val="28"/>
          <w:szCs w:val="28"/>
          <w:lang w:val="uk-UA"/>
        </w:rPr>
        <w:t>Інформаційну базу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дослідженн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 становлять провідні наукові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періодичні видання, такі як: Вісник Національного банку України, Фінанси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 xml:space="preserve">України, Фінансовий ринок, а також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посібники, підручники, статті,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монографії, законодавчо-нормативн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база України, офіційні сайти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Національного банку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України,  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Комісії з цінних паперів та </w:t>
      </w:r>
      <w:r w:rsidRPr="001C5BE6">
        <w:rPr>
          <w:rFonts w:ascii="Times New Roman" w:hAnsi="Times New Roman" w:cs="Times New Roman"/>
          <w:sz w:val="28"/>
          <w:szCs w:val="28"/>
          <w:lang w:val="uk-UA"/>
        </w:rPr>
        <w:t>фондового ринку.</w:t>
      </w:r>
    </w:p>
    <w:p w:rsidR="004A187C" w:rsidRPr="00B8337B" w:rsidRDefault="004A187C" w:rsidP="004A187C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8337B">
        <w:rPr>
          <w:rFonts w:ascii="Times New Roman" w:hAnsi="Times New Roman" w:cs="Times New Roman"/>
          <w:sz w:val="28"/>
          <w:szCs w:val="28"/>
          <w:lang w:val="uk-UA"/>
        </w:rPr>
        <w:t>Табл. 2.1.</w:t>
      </w:r>
    </w:p>
    <w:p w:rsidR="004A187C" w:rsidRPr="00B8337B" w:rsidRDefault="004A187C" w:rsidP="004A18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37B">
        <w:rPr>
          <w:rFonts w:ascii="Times New Roman" w:hAnsi="Times New Roman" w:cs="Times New Roman"/>
          <w:sz w:val="28"/>
          <w:szCs w:val="28"/>
          <w:lang w:val="uk-UA"/>
        </w:rPr>
        <w:t xml:space="preserve">Обсяг біржових контрактів з цінними паперами на </w:t>
      </w:r>
    </w:p>
    <w:p w:rsidR="004A187C" w:rsidRPr="00B8337B" w:rsidRDefault="004A187C" w:rsidP="004A18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337B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організаторах торгівлі протягом січня-грудня 2015 року, млн. грн.</w:t>
      </w:r>
    </w:p>
    <w:tbl>
      <w:tblPr>
        <w:tblW w:w="965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861"/>
        <w:gridCol w:w="708"/>
        <w:gridCol w:w="709"/>
        <w:gridCol w:w="709"/>
        <w:gridCol w:w="709"/>
        <w:gridCol w:w="709"/>
        <w:gridCol w:w="709"/>
        <w:gridCol w:w="708"/>
        <w:gridCol w:w="851"/>
        <w:gridCol w:w="992"/>
        <w:gridCol w:w="851"/>
        <w:gridCol w:w="1134"/>
      </w:tblGrid>
      <w:tr w:rsidR="004A187C" w:rsidRPr="00D35CCC" w:rsidTr="00C927FD">
        <w:trPr>
          <w:trHeight w:val="31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Період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Організатор торгівлі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Усього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  <w:t>КМФБ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ІННЕКС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ПФБ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УМВБ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УМФБ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СЄФБ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ПФТС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ПЕРСПЕКТИВА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УБ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Січень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326,67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107,92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33,28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2 120,04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23 551,14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432,04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26 687,08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Лютий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662,71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165,64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4 680,67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41 124,03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47 324,23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Березень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7 687,41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26 710,29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688,37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35 316,80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Квітень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333,85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4 699,99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24 478,57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720,72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30 550,32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Травень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2 427,63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22 596,36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25 695,11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Червень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1 450,98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20 524,72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22 821,33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Липень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254,65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85,73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2 294,82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13 137,97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508,75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16 286,45</w:t>
            </w:r>
          </w:p>
        </w:tc>
      </w:tr>
      <w:tr w:rsidR="004A187C" w:rsidRPr="00D35CCC" w:rsidTr="00C927FD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Серпень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363,62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4 260,95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11 871,47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16 922,99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Вересень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389,74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6 252,68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7 867,57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493,87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15 010,41</w:t>
            </w:r>
          </w:p>
        </w:tc>
      </w:tr>
      <w:tr w:rsidR="004A187C" w:rsidRPr="00D35CCC" w:rsidTr="00C927FD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Жовтень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144,98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81,35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2 403,64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4 936,99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608,80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8 181,76</w:t>
            </w:r>
          </w:p>
        </w:tc>
      </w:tr>
      <w:tr w:rsidR="004A187C" w:rsidRPr="00D35CCC" w:rsidTr="00C927FD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Листопад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719,16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3 163,07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8 800,23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13 433,43</w:t>
            </w:r>
          </w:p>
        </w:tc>
      </w:tr>
      <w:tr w:rsidR="004A187C" w:rsidRPr="00D35CCC" w:rsidTr="00C927FD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Грудень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340,06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570,93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40" w:right="-89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12 179,53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18 856,16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586,74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32 541,12</w:t>
            </w:r>
          </w:p>
        </w:tc>
      </w:tr>
      <w:tr w:rsidR="004A187C" w:rsidRPr="00D35CCC" w:rsidTr="00C927FD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 w:eastAsia="uk-UA"/>
              </w:rPr>
              <w:t>Усього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301,98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64" w:right="-12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3 565,31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591,30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118,67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65" w:right="-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1 413,39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40" w:right="-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53 621,41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224 455,51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95" w:right="-1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6 692,43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87C" w:rsidRPr="00D35CCC" w:rsidRDefault="004A187C" w:rsidP="00C927FD">
            <w:pPr>
              <w:ind w:left="-95" w:right="-13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D35CC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290 771,03</w:t>
            </w:r>
          </w:p>
        </w:tc>
      </w:tr>
    </w:tbl>
    <w:p w:rsidR="004A187C" w:rsidRDefault="004A187C" w:rsidP="004A18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87C" w:rsidRDefault="004A187C" w:rsidP="004A18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C50">
        <w:rPr>
          <w:rFonts w:ascii="Times New Roman" w:hAnsi="Times New Roman" w:cs="Times New Roman"/>
          <w:sz w:val="28"/>
          <w:szCs w:val="28"/>
          <w:lang w:val="uk-UA"/>
        </w:rPr>
        <w:t>Ринок цінних паперів і його організо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ваний сегмент, осередком якого </w:t>
      </w:r>
      <w:r w:rsidRPr="00956C50">
        <w:rPr>
          <w:rFonts w:ascii="Times New Roman" w:hAnsi="Times New Roman" w:cs="Times New Roman"/>
          <w:sz w:val="28"/>
          <w:szCs w:val="28"/>
          <w:lang w:val="uk-UA"/>
        </w:rPr>
        <w:t>виступає фондова біржа, виконує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айважливіші функції у ринковій </w:t>
      </w:r>
      <w:r w:rsidRPr="00956C50">
        <w:rPr>
          <w:rFonts w:ascii="Times New Roman" w:hAnsi="Times New Roman" w:cs="Times New Roman"/>
          <w:sz w:val="28"/>
          <w:szCs w:val="28"/>
          <w:lang w:val="uk-UA"/>
        </w:rPr>
        <w:t>економіці, насамперед, як складова ринк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капіталу. </w:t>
      </w:r>
    </w:p>
    <w:p w:rsidR="0087523F" w:rsidRPr="004A187C" w:rsidRDefault="0087523F">
      <w:pPr>
        <w:rPr>
          <w:lang w:val="uk-UA"/>
        </w:rPr>
      </w:pPr>
      <w:bookmarkStart w:id="0" w:name="_GoBack"/>
      <w:bookmarkEnd w:id="0"/>
    </w:p>
    <w:sectPr w:rsidR="0087523F" w:rsidRPr="004A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7839"/>
    <w:multiLevelType w:val="hybridMultilevel"/>
    <w:tmpl w:val="095C5ED2"/>
    <w:lvl w:ilvl="0" w:tplc="F98E722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7C"/>
    <w:rsid w:val="00124C28"/>
    <w:rsid w:val="004A187C"/>
    <w:rsid w:val="008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2017-01-29T19:53:00Z</dcterms:created>
  <dcterms:modified xsi:type="dcterms:W3CDTF">2017-01-29T19:57:00Z</dcterms:modified>
</cp:coreProperties>
</file>